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43586E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ДОЛГОРУКОВСКСОГО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341EF9" w:rsidP="008F4E74">
            <w:pPr>
              <w:ind w:right="-6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1E001F">
              <w:rPr>
                <w:color w:val="000000"/>
                <w:sz w:val="28"/>
                <w:szCs w:val="28"/>
              </w:rPr>
              <w:t>.0</w:t>
            </w:r>
            <w:r w:rsidR="0043586E">
              <w:rPr>
                <w:color w:val="000000"/>
                <w:sz w:val="28"/>
                <w:szCs w:val="28"/>
              </w:rPr>
              <w:t>2</w:t>
            </w:r>
            <w:r w:rsidR="001E001F">
              <w:rPr>
                <w:color w:val="000000"/>
                <w:sz w:val="28"/>
                <w:szCs w:val="28"/>
              </w:rPr>
              <w:t>.202</w:t>
            </w:r>
            <w:r>
              <w:rPr>
                <w:color w:val="000000"/>
                <w:sz w:val="28"/>
                <w:szCs w:val="28"/>
              </w:rPr>
              <w:t>5</w:t>
            </w:r>
            <w:r w:rsidR="001E001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93F89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3E53B6" w:rsidRDefault="00A70BDA" w:rsidP="003E53B6">
            <w:pPr>
              <w:rPr>
                <w:color w:val="000000" w:themeColor="text1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  </w:t>
            </w:r>
            <w:r w:rsidR="003E53B6" w:rsidRPr="003E53B6">
              <w:rPr>
                <w:color w:val="000000" w:themeColor="text1"/>
                <w:sz w:val="28"/>
                <w:szCs w:val="28"/>
              </w:rPr>
              <w:t>87</w:t>
            </w:r>
            <w:r w:rsidR="00170426" w:rsidRPr="003E53B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E53B6">
              <w:rPr>
                <w:color w:val="000000" w:themeColor="text1"/>
                <w:sz w:val="28"/>
                <w:szCs w:val="28"/>
              </w:rPr>
              <w:t xml:space="preserve"> </w:t>
            </w:r>
            <w:r w:rsidR="00D666C6" w:rsidRPr="003E53B6">
              <w:rPr>
                <w:color w:val="000000" w:themeColor="text1"/>
                <w:sz w:val="28"/>
                <w:szCs w:val="28"/>
              </w:rPr>
              <w:t>/</w:t>
            </w:r>
            <w:r w:rsidR="009457F3" w:rsidRPr="003E53B6">
              <w:rPr>
                <w:color w:val="000000" w:themeColor="text1"/>
                <w:sz w:val="28"/>
                <w:szCs w:val="28"/>
              </w:rPr>
              <w:t xml:space="preserve">  </w:t>
            </w:r>
            <w:r w:rsidR="003E53B6" w:rsidRPr="003E53B6">
              <w:rPr>
                <w:color w:val="000000" w:themeColor="text1"/>
                <w:sz w:val="28"/>
                <w:szCs w:val="28"/>
              </w:rPr>
              <w:t>310</w:t>
            </w:r>
          </w:p>
        </w:tc>
      </w:tr>
    </w:tbl>
    <w:p w:rsidR="00A70BDA" w:rsidRPr="00170426" w:rsidRDefault="0043586E" w:rsidP="00A70BDA">
      <w:pPr>
        <w:jc w:val="center"/>
        <w:rPr>
          <w:color w:val="000000"/>
        </w:rPr>
      </w:pPr>
      <w:r>
        <w:rPr>
          <w:color w:val="000000"/>
        </w:rPr>
        <w:t>с. Долгоруково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E290E"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="00743699"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 w:rsidR="00FE290E">
        <w:rPr>
          <w:rFonts w:ascii="Times New Roman CYR" w:hAnsi="Times New Roman CYR"/>
          <w:b/>
          <w:sz w:val="28"/>
          <w:szCs w:val="28"/>
        </w:rPr>
        <w:t>ов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FE290E">
        <w:rPr>
          <w:rFonts w:ascii="Times New Roman CYR" w:hAnsi="Times New Roman CYR"/>
          <w:b/>
          <w:sz w:val="28"/>
          <w:szCs w:val="28"/>
        </w:rPr>
        <w:t>эссе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CD546E">
        <w:rPr>
          <w:b/>
          <w:sz w:val="28"/>
        </w:rPr>
        <w:t>среди учащихся общеобразовательных организаций Липецкой области «Я – будущий избиратель»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341EF9">
        <w:t>24</w:t>
      </w:r>
      <w:r w:rsidR="00CD546E">
        <w:t xml:space="preserve"> января </w:t>
      </w:r>
      <w:r w:rsidRPr="0006140A">
        <w:t>20</w:t>
      </w:r>
      <w:r w:rsidR="00CD546E">
        <w:t>2</w:t>
      </w:r>
      <w:r w:rsidR="00341EF9">
        <w:t>5</w:t>
      </w:r>
      <w:r w:rsidRPr="0006140A">
        <w:t xml:space="preserve"> года </w:t>
      </w:r>
      <w:r w:rsidR="00341EF9" w:rsidRPr="0006140A">
        <w:t xml:space="preserve">№ </w:t>
      </w:r>
      <w:r w:rsidR="00341EF9">
        <w:t>76</w:t>
      </w:r>
      <w:r w:rsidR="00341EF9">
        <w:rPr>
          <w:color w:val="000000"/>
        </w:rPr>
        <w:t>/754-7</w:t>
      </w:r>
      <w:r w:rsidR="00D470B3" w:rsidRPr="00CF6D04">
        <w:t xml:space="preserve"> </w:t>
      </w:r>
      <w:r w:rsidR="008261E2" w:rsidRPr="00CF6D04">
        <w:t>«</w:t>
      </w:r>
      <w:r w:rsidR="006D7FC2">
        <w:t xml:space="preserve">О проведении областного конкурса </w:t>
      </w:r>
      <w:r w:rsidR="00FE290E">
        <w:t>эссе</w:t>
      </w:r>
      <w:r w:rsidR="006D7FC2">
        <w:t xml:space="preserve"> среди учащихся общеобразовательных организаций Липецкой области «Я – будущий избиратель»,</w:t>
      </w:r>
      <w:r w:rsidR="008261E2">
        <w:t xml:space="preserve"> территориальная избирательная комиссия </w:t>
      </w:r>
      <w:r w:rsidR="0043586E">
        <w:t>Долгоруковского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</w:t>
      </w:r>
      <w:r w:rsidR="00FE290E">
        <w:t xml:space="preserve">первого и </w:t>
      </w:r>
      <w:r>
        <w:t>второго этап</w:t>
      </w:r>
      <w:r w:rsidR="00FE290E">
        <w:t>ов</w:t>
      </w:r>
      <w:r>
        <w:t xml:space="preserve"> областного конкурса </w:t>
      </w:r>
      <w:r w:rsidR="00FE290E">
        <w:t>эссе</w:t>
      </w:r>
      <w:r w:rsidR="006D7FC2" w:rsidRPr="006D7FC2">
        <w:t xml:space="preserve"> среди учащихся общеобразовательных организаций Липецкой области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 xml:space="preserve">Разместить настоящее постановление на сайте территориальной избирательной комиссии </w:t>
      </w:r>
      <w:r w:rsidR="0043586E">
        <w:t>Долгоруковского</w:t>
      </w:r>
      <w:r w:rsidR="00FC6E26">
        <w:t xml:space="preserve"> района в информационно-телекоммуникационной сети «Интернет».</w:t>
      </w:r>
    </w:p>
    <w:p w:rsidR="00721FEC" w:rsidRDefault="00721FEC" w:rsidP="00DC3530">
      <w:pPr>
        <w:pStyle w:val="14-15"/>
      </w:pPr>
    </w:p>
    <w:tbl>
      <w:tblPr>
        <w:tblW w:w="12689" w:type="dxa"/>
        <w:tblLook w:val="00A0"/>
      </w:tblPr>
      <w:tblGrid>
        <w:gridCol w:w="9464"/>
        <w:gridCol w:w="3225"/>
      </w:tblGrid>
      <w:tr w:rsidR="00D37B17" w:rsidRPr="000B34CB" w:rsidTr="004828A4">
        <w:tc>
          <w:tcPr>
            <w:tcW w:w="9464" w:type="dxa"/>
          </w:tcPr>
          <w:tbl>
            <w:tblPr>
              <w:tblW w:w="0" w:type="auto"/>
              <w:tblInd w:w="108" w:type="dxa"/>
              <w:tblLook w:val="0000"/>
            </w:tblPr>
            <w:tblGrid>
              <w:gridCol w:w="4383"/>
              <w:gridCol w:w="2065"/>
              <w:gridCol w:w="2692"/>
            </w:tblGrid>
            <w:tr w:rsidR="00F94197" w:rsidRPr="006F08C7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 xml:space="preserve">Председатель территориальной избирательной комиссии </w:t>
                  </w:r>
                </w:p>
                <w:p w:rsidR="00F94197" w:rsidRPr="00F94197" w:rsidRDefault="0043586E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Долгоруковского</w:t>
                  </w:r>
                  <w:r w:rsidR="00F94197" w:rsidRPr="00F94197">
                    <w:rPr>
                      <w:b/>
                      <w:sz w:val="28"/>
                      <w:szCs w:val="28"/>
                    </w:rPr>
                    <w:t xml:space="preserve"> района</w:t>
                  </w: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vAlign w:val="bottom"/>
                </w:tcPr>
                <w:p w:rsidR="00F94197" w:rsidRPr="00F94197" w:rsidRDefault="00D46D4A" w:rsidP="0090168B">
                  <w:pPr>
                    <w:pStyle w:val="1"/>
                    <w:ind w:left="-446"/>
                    <w:jc w:val="right"/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Т.С. Королё</w:t>
                  </w:r>
                  <w:r w:rsidR="0043586E"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ва</w:t>
                  </w:r>
                </w:p>
              </w:tc>
            </w:tr>
            <w:tr w:rsidR="00F94197" w:rsidRPr="005459BC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F94197" w:rsidRPr="005459BC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 xml:space="preserve">Секретарь территориальной избирательной комиссии </w:t>
                  </w:r>
                </w:p>
                <w:p w:rsidR="00F94197" w:rsidRPr="00F94197" w:rsidRDefault="0043586E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Долгоруковского</w:t>
                  </w:r>
                  <w:r w:rsidR="00F94197" w:rsidRPr="00F94197">
                    <w:rPr>
                      <w:b/>
                      <w:sz w:val="28"/>
                      <w:szCs w:val="28"/>
                    </w:rPr>
                    <w:t xml:space="preserve"> района</w:t>
                  </w: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vAlign w:val="bottom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F94197" w:rsidRPr="00F94197" w:rsidRDefault="0043586E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Н.В. Сотникова</w:t>
                  </w:r>
                </w:p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37B17" w:rsidRPr="000B34CB" w:rsidRDefault="00D37B17" w:rsidP="004828A4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37B17" w:rsidRPr="000B34CB" w:rsidRDefault="00D37B17" w:rsidP="004828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1FEC" w:rsidRDefault="00721FEC" w:rsidP="00DC3530">
      <w:pPr>
        <w:pStyle w:val="14-15"/>
      </w:pPr>
    </w:p>
    <w:p w:rsidR="00CD546E" w:rsidRDefault="00CD546E" w:rsidP="00DC3530">
      <w:pPr>
        <w:pStyle w:val="14-15"/>
      </w:pPr>
    </w:p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/>
      </w:tblPr>
      <w:tblGrid>
        <w:gridCol w:w="9462"/>
      </w:tblGrid>
      <w:tr w:rsidR="008261E2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06" w:type="dxa"/>
              <w:tblLook w:val="0000"/>
            </w:tblPr>
            <w:tblGrid>
              <w:gridCol w:w="88"/>
              <w:gridCol w:w="4759"/>
              <w:gridCol w:w="4399"/>
              <w:gridCol w:w="360"/>
            </w:tblGrid>
            <w:tr w:rsidR="005C56CC" w:rsidRPr="005C604D" w:rsidTr="00FE290E">
              <w:trPr>
                <w:gridBefore w:val="1"/>
                <w:wBefore w:w="88" w:type="dxa"/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94197" w:rsidRDefault="00F94197" w:rsidP="00D470B3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</w:p>
                <w:p w:rsidR="00F94197" w:rsidRDefault="00F94197" w:rsidP="00D470B3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</w:p>
                <w:p w:rsidR="005C56CC" w:rsidRPr="005C604D" w:rsidRDefault="005C56CC" w:rsidP="0043586E">
                  <w:pPr>
                    <w:pStyle w:val="ConsPlusNormal"/>
                    <w:ind w:left="12" w:hanging="12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lastRenderedPageBreak/>
                    <w:t xml:space="preserve">Приложение 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ТИК </w:t>
                  </w:r>
                  <w:r w:rsidR="0043586E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Долгоруковского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района от  </w:t>
                  </w:r>
                  <w:r w:rsidR="00D46D4A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11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.0</w:t>
                  </w:r>
                  <w:r w:rsidR="0043586E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.202</w:t>
                  </w:r>
                  <w:r w:rsidR="00D46D4A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5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года </w:t>
                  </w:r>
                  <w:r w:rsidRPr="003E53B6">
                    <w:rPr>
                      <w:rFonts w:ascii="Times New Roman" w:hAnsi="Times New Roman" w:cs="Times New Roman"/>
                      <w:iCs/>
                      <w:color w:val="000000" w:themeColor="text1"/>
                      <w:sz w:val="22"/>
                      <w:szCs w:val="22"/>
                    </w:rPr>
                    <w:t xml:space="preserve">№ </w:t>
                  </w:r>
                  <w:r w:rsidR="003E53B6" w:rsidRPr="003E53B6">
                    <w:rPr>
                      <w:rFonts w:ascii="Times New Roman" w:hAnsi="Times New Roman" w:cs="Times New Roman"/>
                      <w:iCs/>
                      <w:color w:val="000000" w:themeColor="text1"/>
                      <w:sz w:val="22"/>
                      <w:szCs w:val="22"/>
                    </w:rPr>
                    <w:t>87</w:t>
                  </w:r>
                  <w:r w:rsidRPr="003E53B6">
                    <w:rPr>
                      <w:rFonts w:ascii="Times New Roman" w:hAnsi="Times New Roman" w:cs="Times New Roman"/>
                      <w:iCs/>
                      <w:color w:val="000000" w:themeColor="text1"/>
                      <w:sz w:val="22"/>
                      <w:szCs w:val="22"/>
                    </w:rPr>
                    <w:t>/</w:t>
                  </w:r>
                  <w:r w:rsidR="003E53B6" w:rsidRPr="003E53B6">
                    <w:rPr>
                      <w:rFonts w:ascii="Times New Roman" w:hAnsi="Times New Roman" w:cs="Times New Roman"/>
                      <w:iCs/>
                      <w:color w:val="000000" w:themeColor="text1"/>
                      <w:sz w:val="22"/>
                      <w:szCs w:val="22"/>
                    </w:rPr>
                    <w:t>310</w:t>
                  </w:r>
                </w:p>
              </w:tc>
            </w:tr>
            <w:tr w:rsidR="00FE290E" w:rsidTr="00FE290E">
              <w:trPr>
                <w:gridAfter w:val="1"/>
                <w:wAfter w:w="360" w:type="dxa"/>
                <w:trHeight w:val="300"/>
              </w:trPr>
              <w:tc>
                <w:tcPr>
                  <w:tcW w:w="9246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E290E" w:rsidRDefault="00FE290E" w:rsidP="0088420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FE290E" w:rsidRDefault="00FE290E" w:rsidP="0088420C">
                  <w:pPr>
                    <w:ind w:firstLine="709"/>
                    <w:jc w:val="center"/>
                    <w:rPr>
                      <w:b/>
                      <w:sz w:val="28"/>
                    </w:rPr>
                  </w:pPr>
                  <w:r w:rsidRPr="008C1ED3">
                    <w:rPr>
                      <w:b/>
                      <w:sz w:val="28"/>
                      <w:szCs w:val="28"/>
                    </w:rPr>
                    <w:t xml:space="preserve">Состав </w:t>
                  </w:r>
                  <w:r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743699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первого и 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второго этап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ов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областного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конкурса 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эссе</w:t>
                  </w:r>
                  <w:r w:rsidRPr="0059125A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среди учащихся общеобразовательных организаций Липецкой области «Я – будущий избиратель» </w:t>
                  </w:r>
                </w:p>
                <w:p w:rsidR="00FE290E" w:rsidRDefault="00FE290E" w:rsidP="0088420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718"/>
                    <w:gridCol w:w="5302"/>
                  </w:tblGrid>
                  <w:tr w:rsidR="00FE290E" w:rsidRPr="00CC13BC" w:rsidTr="0043586E">
                    <w:tc>
                      <w:tcPr>
                        <w:tcW w:w="3718" w:type="dxa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Председатель Конкурсной комиссии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43586E" w:rsidRPr="00F94197" w:rsidRDefault="00FE290E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43586E" w:rsidRPr="00F94197">
                          <w:rPr>
                            <w:sz w:val="28"/>
                            <w:szCs w:val="28"/>
                          </w:rPr>
                          <w:t xml:space="preserve">Председатель территориальной избирательной комиссии </w:t>
                        </w:r>
                        <w:r w:rsidR="0043586E">
                          <w:rPr>
                            <w:sz w:val="28"/>
                            <w:szCs w:val="28"/>
                          </w:rPr>
                          <w:t>Долгоруковского</w:t>
                        </w:r>
                        <w:r w:rsidR="0043586E"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FE290E" w:rsidRPr="00F94197" w:rsidRDefault="00D46D4A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Королё</w:t>
                        </w:r>
                        <w:r w:rsidR="0043586E">
                          <w:rPr>
                            <w:b/>
                            <w:sz w:val="28"/>
                            <w:szCs w:val="28"/>
                          </w:rPr>
                          <w:t>ва Татьяна Сергеевна</w:t>
                        </w:r>
                      </w:p>
                    </w:tc>
                  </w:tr>
                  <w:tr w:rsidR="00FE290E" w:rsidRPr="00CC13BC" w:rsidTr="0043586E">
                    <w:tc>
                      <w:tcPr>
                        <w:tcW w:w="3718" w:type="dxa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Секретарь Конкурсной комиссии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43586E" w:rsidRPr="00F94197" w:rsidRDefault="0043586E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Секретарь территориальной избирательной комиссии </w:t>
                        </w:r>
                        <w:r>
                          <w:rPr>
                            <w:sz w:val="28"/>
                            <w:szCs w:val="28"/>
                          </w:rPr>
                          <w:t>Долгоруковского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FE290E" w:rsidRPr="00F94197" w:rsidRDefault="0043586E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Сотникова Наталья Вадимовна</w:t>
                        </w:r>
                      </w:p>
                    </w:tc>
                  </w:tr>
                  <w:tr w:rsidR="00FE290E" w:rsidRPr="00CC13BC" w:rsidTr="0043586E">
                    <w:tc>
                      <w:tcPr>
                        <w:tcW w:w="9020" w:type="dxa"/>
                        <w:gridSpan w:val="2"/>
                      </w:tcPr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Члены Конкурсной комиссии: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Заместитель председателя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территориальной избирательной комиссии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Долгоруковского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43586E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Пономарева Надежда Михайловна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Член территориальной избирательной комиссии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Долгоруковского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с правом решающего голоса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43586E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Барыбина Наталья Николаевна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Член территориальной избирательной комиссии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Долгоруковского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с правом решающего голоса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D46D4A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Абалуева Вера Васильевна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D46D4A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Начальник</w:t>
                        </w:r>
                        <w:r w:rsidR="0043586E">
                          <w:rPr>
                            <w:sz w:val="28"/>
                            <w:szCs w:val="28"/>
                          </w:rPr>
                          <w:t xml:space="preserve"> отдела образования администрации Долгоруковского муниципального района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D46D4A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Юдина Татьяна Алексеевна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Начальник отдела культуры администрации Долгоруковского муниципального района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43586E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Алексеева Елена  Геннадьевна</w:t>
                        </w:r>
                      </w:p>
                    </w:tc>
                  </w:tr>
                </w:tbl>
                <w:p w:rsidR="00FE290E" w:rsidRDefault="00FE290E" w:rsidP="0088420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E290E" w:rsidRDefault="00FE290E" w:rsidP="0088420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sz w:val="28"/>
                      <w:szCs w:val="28"/>
                    </w:rPr>
                    <w:br w:type="page"/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FE290E" w:rsidTr="00FE290E">
              <w:trPr>
                <w:gridAfter w:val="1"/>
                <w:wAfter w:w="360" w:type="dxa"/>
                <w:trHeight w:val="300"/>
              </w:trPr>
              <w:tc>
                <w:tcPr>
                  <w:tcW w:w="9246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E290E" w:rsidRDefault="00FE290E" w:rsidP="0088420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E290E" w:rsidTr="00FE290E">
              <w:trPr>
                <w:gridAfter w:val="1"/>
                <w:wAfter w:w="360" w:type="dxa"/>
                <w:trHeight w:val="1020"/>
              </w:trPr>
              <w:tc>
                <w:tcPr>
                  <w:tcW w:w="9246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E290E" w:rsidRDefault="00FE290E" w:rsidP="0088420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D22" w:rsidRDefault="00143D22">
      <w:r>
        <w:separator/>
      </w:r>
    </w:p>
  </w:endnote>
  <w:endnote w:type="continuationSeparator" w:id="1">
    <w:p w:rsidR="00143D22" w:rsidRDefault="00143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D22" w:rsidRDefault="00143D22">
      <w:r>
        <w:separator/>
      </w:r>
    </w:p>
  </w:footnote>
  <w:footnote w:type="continuationSeparator" w:id="1">
    <w:p w:rsidR="00143D22" w:rsidRDefault="00143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911C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911C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3B6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58A"/>
    <w:rsid w:val="00013FB9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3109"/>
    <w:rsid w:val="000C47CC"/>
    <w:rsid w:val="000D5B8D"/>
    <w:rsid w:val="000E185B"/>
    <w:rsid w:val="000E40A7"/>
    <w:rsid w:val="00113675"/>
    <w:rsid w:val="0012703D"/>
    <w:rsid w:val="00143D22"/>
    <w:rsid w:val="00156122"/>
    <w:rsid w:val="001701CE"/>
    <w:rsid w:val="00170426"/>
    <w:rsid w:val="001A17DB"/>
    <w:rsid w:val="001B23A1"/>
    <w:rsid w:val="001C548B"/>
    <w:rsid w:val="001C693D"/>
    <w:rsid w:val="001E001F"/>
    <w:rsid w:val="001E4CE5"/>
    <w:rsid w:val="001F38C6"/>
    <w:rsid w:val="002009D0"/>
    <w:rsid w:val="00215CBA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227C"/>
    <w:rsid w:val="002A6695"/>
    <w:rsid w:val="002A7007"/>
    <w:rsid w:val="002B5D5F"/>
    <w:rsid w:val="002C1295"/>
    <w:rsid w:val="002E797B"/>
    <w:rsid w:val="002F1107"/>
    <w:rsid w:val="002F6D67"/>
    <w:rsid w:val="0030225F"/>
    <w:rsid w:val="003068FA"/>
    <w:rsid w:val="00311300"/>
    <w:rsid w:val="00316127"/>
    <w:rsid w:val="00323A09"/>
    <w:rsid w:val="00324E76"/>
    <w:rsid w:val="00331EF7"/>
    <w:rsid w:val="00333C3C"/>
    <w:rsid w:val="00341EF9"/>
    <w:rsid w:val="00342036"/>
    <w:rsid w:val="00353D60"/>
    <w:rsid w:val="00361D37"/>
    <w:rsid w:val="00384A2E"/>
    <w:rsid w:val="0038793B"/>
    <w:rsid w:val="00396DBC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D626B"/>
    <w:rsid w:val="003E53B6"/>
    <w:rsid w:val="003F6A8B"/>
    <w:rsid w:val="003F72F2"/>
    <w:rsid w:val="003F7867"/>
    <w:rsid w:val="00402A2B"/>
    <w:rsid w:val="00406BA0"/>
    <w:rsid w:val="0041461B"/>
    <w:rsid w:val="00427520"/>
    <w:rsid w:val="004304A6"/>
    <w:rsid w:val="004341E3"/>
    <w:rsid w:val="0043586E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7EF1"/>
    <w:rsid w:val="005724BE"/>
    <w:rsid w:val="0059125A"/>
    <w:rsid w:val="00594894"/>
    <w:rsid w:val="00595071"/>
    <w:rsid w:val="00597431"/>
    <w:rsid w:val="005B10E8"/>
    <w:rsid w:val="005C27C0"/>
    <w:rsid w:val="005C56CC"/>
    <w:rsid w:val="005D6470"/>
    <w:rsid w:val="005F38E8"/>
    <w:rsid w:val="005F75A0"/>
    <w:rsid w:val="005F7A9B"/>
    <w:rsid w:val="00603426"/>
    <w:rsid w:val="00606E3A"/>
    <w:rsid w:val="00614A8B"/>
    <w:rsid w:val="00631B84"/>
    <w:rsid w:val="00646440"/>
    <w:rsid w:val="006477B7"/>
    <w:rsid w:val="006518BC"/>
    <w:rsid w:val="00653A01"/>
    <w:rsid w:val="00663508"/>
    <w:rsid w:val="00673F94"/>
    <w:rsid w:val="00674B52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3149"/>
    <w:rsid w:val="007053E7"/>
    <w:rsid w:val="007107D4"/>
    <w:rsid w:val="007160DB"/>
    <w:rsid w:val="00721FEC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A1AA0"/>
    <w:rsid w:val="007B0699"/>
    <w:rsid w:val="007B3E8C"/>
    <w:rsid w:val="007B7C45"/>
    <w:rsid w:val="007C6B88"/>
    <w:rsid w:val="007C7E23"/>
    <w:rsid w:val="007D2A58"/>
    <w:rsid w:val="007E0388"/>
    <w:rsid w:val="007F1F71"/>
    <w:rsid w:val="00810286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298D"/>
    <w:rsid w:val="008D163C"/>
    <w:rsid w:val="008E2F8D"/>
    <w:rsid w:val="008E5BF7"/>
    <w:rsid w:val="008F3C75"/>
    <w:rsid w:val="008F4990"/>
    <w:rsid w:val="008F4E74"/>
    <w:rsid w:val="0090168B"/>
    <w:rsid w:val="0090463E"/>
    <w:rsid w:val="00911C25"/>
    <w:rsid w:val="00912CDC"/>
    <w:rsid w:val="00927B34"/>
    <w:rsid w:val="009345FD"/>
    <w:rsid w:val="0094112F"/>
    <w:rsid w:val="00943E26"/>
    <w:rsid w:val="00944711"/>
    <w:rsid w:val="009457F3"/>
    <w:rsid w:val="00966603"/>
    <w:rsid w:val="009679F9"/>
    <w:rsid w:val="009711EE"/>
    <w:rsid w:val="00972A78"/>
    <w:rsid w:val="00974D14"/>
    <w:rsid w:val="00982757"/>
    <w:rsid w:val="00990890"/>
    <w:rsid w:val="009C4606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863C5"/>
    <w:rsid w:val="00A93C49"/>
    <w:rsid w:val="00AA0FF1"/>
    <w:rsid w:val="00AA749F"/>
    <w:rsid w:val="00AB2BF7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8055B"/>
    <w:rsid w:val="00B850E5"/>
    <w:rsid w:val="00B93C42"/>
    <w:rsid w:val="00B9643A"/>
    <w:rsid w:val="00BB1308"/>
    <w:rsid w:val="00BB54FF"/>
    <w:rsid w:val="00BC1BF5"/>
    <w:rsid w:val="00BC5C05"/>
    <w:rsid w:val="00BE5B53"/>
    <w:rsid w:val="00BF2042"/>
    <w:rsid w:val="00BF217D"/>
    <w:rsid w:val="00C066D8"/>
    <w:rsid w:val="00C1100B"/>
    <w:rsid w:val="00C11C01"/>
    <w:rsid w:val="00C23BC8"/>
    <w:rsid w:val="00C35A46"/>
    <w:rsid w:val="00C47E2A"/>
    <w:rsid w:val="00C510C8"/>
    <w:rsid w:val="00C548A6"/>
    <w:rsid w:val="00C5550A"/>
    <w:rsid w:val="00C858B8"/>
    <w:rsid w:val="00C91CDE"/>
    <w:rsid w:val="00CA2B29"/>
    <w:rsid w:val="00CA725E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309DC"/>
    <w:rsid w:val="00D33049"/>
    <w:rsid w:val="00D340D9"/>
    <w:rsid w:val="00D37B17"/>
    <w:rsid w:val="00D46D4A"/>
    <w:rsid w:val="00D470B3"/>
    <w:rsid w:val="00D518A4"/>
    <w:rsid w:val="00D52DD3"/>
    <w:rsid w:val="00D613AD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624CE"/>
    <w:rsid w:val="00E758C2"/>
    <w:rsid w:val="00E82A65"/>
    <w:rsid w:val="00E85DDE"/>
    <w:rsid w:val="00EA14F7"/>
    <w:rsid w:val="00EA76E3"/>
    <w:rsid w:val="00EA7CAF"/>
    <w:rsid w:val="00EF4F7F"/>
    <w:rsid w:val="00EF5908"/>
    <w:rsid w:val="00EF5982"/>
    <w:rsid w:val="00F0551F"/>
    <w:rsid w:val="00F06CB7"/>
    <w:rsid w:val="00F22718"/>
    <w:rsid w:val="00F339A8"/>
    <w:rsid w:val="00F342F0"/>
    <w:rsid w:val="00F34B1E"/>
    <w:rsid w:val="00F41202"/>
    <w:rsid w:val="00F4347F"/>
    <w:rsid w:val="00F43714"/>
    <w:rsid w:val="00F76001"/>
    <w:rsid w:val="00F76FF7"/>
    <w:rsid w:val="00F93F89"/>
    <w:rsid w:val="00F94197"/>
    <w:rsid w:val="00F97116"/>
    <w:rsid w:val="00FA1E8F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290E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8DC9-666F-484D-9286-2B806689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Александра</cp:lastModifiedBy>
  <cp:revision>3</cp:revision>
  <cp:lastPrinted>2022-02-10T12:16:00Z</cp:lastPrinted>
  <dcterms:created xsi:type="dcterms:W3CDTF">2024-02-14T06:18:00Z</dcterms:created>
  <dcterms:modified xsi:type="dcterms:W3CDTF">2025-02-11T07:59:00Z</dcterms:modified>
</cp:coreProperties>
</file>